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F1FE" w14:textId="77777777" w:rsidR="001C3F81" w:rsidRPr="008917E1" w:rsidRDefault="001C3F81" w:rsidP="00811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 w:rsidRPr="008917E1">
        <w:rPr>
          <w:sz w:val="40"/>
        </w:rPr>
        <w:t>CADRE DU MEMOIRE TECHNIQUE</w:t>
      </w:r>
    </w:p>
    <w:p w14:paraId="52A27CBB" w14:textId="11486C0F" w:rsidR="00B251C5" w:rsidRDefault="00B251C5" w:rsidP="005137D5">
      <w:pPr>
        <w:jc w:val="both"/>
      </w:pPr>
    </w:p>
    <w:p w14:paraId="226623B0" w14:textId="4373DF2B" w:rsidR="00AD75EF" w:rsidRDefault="00AD75EF" w:rsidP="005137D5">
      <w:pPr>
        <w:jc w:val="both"/>
      </w:pPr>
    </w:p>
    <w:p w14:paraId="0F26C60E" w14:textId="77777777" w:rsidR="004107FE" w:rsidRDefault="004107FE" w:rsidP="005137D5">
      <w:pPr>
        <w:pStyle w:val="En-ttedetabledesmatires"/>
        <w:jc w:val="both"/>
        <w:rPr>
          <w:rFonts w:ascii="Trebuchet MS" w:eastAsia="Trebuchet MS" w:hAnsi="Trebuchet MS" w:cs="Trebuchet MS"/>
          <w:b/>
          <w:noProof/>
          <w:color w:val="auto"/>
          <w:sz w:val="28"/>
          <w:szCs w:val="22"/>
          <w:lang w:eastAsia="en-US"/>
        </w:rPr>
      </w:pPr>
      <w:r w:rsidRPr="004107FE">
        <w:rPr>
          <w:rFonts w:ascii="Trebuchet MS" w:eastAsia="Trebuchet MS" w:hAnsi="Trebuchet MS" w:cs="Trebuchet MS"/>
          <w:b/>
          <w:noProof/>
          <w:color w:val="auto"/>
          <w:sz w:val="28"/>
          <w:szCs w:val="22"/>
          <w:lang w:eastAsia="en-US"/>
        </w:rPr>
        <w:t xml:space="preserve">Maintenance préventive et corrective des centrales d’air comprimé à usage médicale au profit du GHT Alliance de Gironde 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id w:val="-2041804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97FB82" w14:textId="74DAF646" w:rsidR="00B251C5" w:rsidRPr="008917E1" w:rsidRDefault="00B251C5" w:rsidP="005137D5">
          <w:pPr>
            <w:pStyle w:val="En-ttedetabledesmatires"/>
            <w:jc w:val="both"/>
          </w:pPr>
          <w:r w:rsidRPr="008917E1">
            <w:t>Table des matières</w:t>
          </w:r>
        </w:p>
        <w:p w14:paraId="6C5669FC" w14:textId="18ADE1E8" w:rsidR="002E071A" w:rsidRDefault="00B251C5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r w:rsidRPr="005137D5">
            <w:fldChar w:fldCharType="begin"/>
          </w:r>
          <w:r w:rsidRPr="008917E1">
            <w:instrText xml:space="preserve"> TOC \o "1-3" \h \z \u </w:instrText>
          </w:r>
          <w:r w:rsidRPr="005137D5">
            <w:fldChar w:fldCharType="separate"/>
          </w:r>
          <w:hyperlink w:anchor="_Toc212215126" w:history="1">
            <w:r w:rsidR="002E071A" w:rsidRPr="00AE0A6C">
              <w:rPr>
                <w:rStyle w:val="Lienhypertexte"/>
                <w:rFonts w:ascii="Wingdings" w:eastAsiaTheme="majorEastAsia" w:hAnsi="Wingdings"/>
                <w:noProof/>
              </w:rPr>
              <w:t></w:t>
            </w:r>
            <w:r w:rsidR="002E071A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2E071A" w:rsidRPr="00AE0A6C">
              <w:rPr>
                <w:rStyle w:val="Lienhypertexte"/>
                <w:rFonts w:eastAsiaTheme="majorEastAsia"/>
                <w:noProof/>
              </w:rPr>
              <w:t>A REMPLIR</w:t>
            </w:r>
            <w:r w:rsidR="002E071A">
              <w:rPr>
                <w:noProof/>
                <w:webHidden/>
              </w:rPr>
              <w:tab/>
            </w:r>
            <w:r w:rsidR="002E071A">
              <w:rPr>
                <w:noProof/>
                <w:webHidden/>
              </w:rPr>
              <w:fldChar w:fldCharType="begin"/>
            </w:r>
            <w:r w:rsidR="002E071A">
              <w:rPr>
                <w:noProof/>
                <w:webHidden/>
              </w:rPr>
              <w:instrText xml:space="preserve"> PAGEREF _Toc212215126 \h </w:instrText>
            </w:r>
            <w:r w:rsidR="002E071A">
              <w:rPr>
                <w:noProof/>
                <w:webHidden/>
              </w:rPr>
            </w:r>
            <w:r w:rsidR="002E071A">
              <w:rPr>
                <w:noProof/>
                <w:webHidden/>
              </w:rPr>
              <w:fldChar w:fldCharType="separate"/>
            </w:r>
            <w:r w:rsidR="002E071A">
              <w:rPr>
                <w:noProof/>
                <w:webHidden/>
              </w:rPr>
              <w:t>2</w:t>
            </w:r>
            <w:r w:rsidR="002E071A">
              <w:rPr>
                <w:noProof/>
                <w:webHidden/>
              </w:rPr>
              <w:fldChar w:fldCharType="end"/>
            </w:r>
          </w:hyperlink>
        </w:p>
        <w:p w14:paraId="4A2CCDA0" w14:textId="2E4436FD" w:rsidR="002E071A" w:rsidRDefault="002E071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27" w:history="1">
            <w:r w:rsidRPr="00AE0A6C">
              <w:rPr>
                <w:rStyle w:val="Lienhypertexte"/>
                <w:rFonts w:eastAsia="NSimSun" w:cs="Mangal"/>
                <w:b/>
                <w:noProof/>
                <w:kern w:val="2"/>
                <w:lang w:eastAsia="zh-CN" w:bidi="hi-IN"/>
              </w:rPr>
              <w:t>COORDONNÉES SOCIÉTÉ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94E50" w14:textId="7F6F4BC7" w:rsidR="002E071A" w:rsidRDefault="002E071A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28" w:history="1">
            <w:r w:rsidRPr="00AE0A6C">
              <w:rPr>
                <w:rStyle w:val="Lienhypertexte"/>
                <w:rFonts w:ascii="Wingdings" w:eastAsiaTheme="majorEastAsia" w:hAnsi="Wingdings"/>
                <w:noProof/>
              </w:rPr>
              <w:t>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AE0A6C">
              <w:rPr>
                <w:rStyle w:val="Lienhypertexte"/>
                <w:rFonts w:eastAsiaTheme="majorEastAsia"/>
                <w:noProof/>
              </w:rPr>
              <w:t>CONSIGNES IMPORTANTES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E2F13" w14:textId="7DD648A4" w:rsidR="002E071A" w:rsidRDefault="002E071A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29" w:history="1">
            <w:r w:rsidRPr="00AE0A6C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AE0A6C">
              <w:rPr>
                <w:rStyle w:val="Lienhypertexte"/>
                <w:rFonts w:eastAsiaTheme="majorEastAsia"/>
                <w:caps/>
                <w:noProof/>
              </w:rPr>
              <w:t>QUESTION 2.1 – Organisation et moyens humains proposés pour l’exécution de la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0C7D6" w14:textId="30EE958C" w:rsidR="002E071A" w:rsidRDefault="002E071A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30" w:history="1">
            <w:r w:rsidRPr="00AE0A6C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AE0A6C">
              <w:rPr>
                <w:rStyle w:val="Lienhypertexte"/>
                <w:rFonts w:eastAsiaTheme="majorEastAsia"/>
                <w:caps/>
                <w:noProof/>
              </w:rPr>
              <w:t>QUESTION 2.2 - Modalités d’approvisionnement des pièces détachées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F5813" w14:textId="1614E161" w:rsidR="002E071A" w:rsidRDefault="002E071A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31" w:history="1">
            <w:r w:rsidRPr="00AE0A6C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AE0A6C">
              <w:rPr>
                <w:rStyle w:val="Lienhypertexte"/>
                <w:rFonts w:eastAsiaTheme="majorEastAsia"/>
                <w:caps/>
                <w:noProof/>
              </w:rPr>
              <w:t xml:space="preserve">QUESTION 2.3 – </w:t>
            </w:r>
            <w:r w:rsidRPr="00AE0A6C">
              <w:rPr>
                <w:rStyle w:val="Lienhypertexte"/>
                <w:rFonts w:eastAsiaTheme="majorEastAsia"/>
                <w:iCs/>
                <w:caps/>
                <w:noProof/>
              </w:rPr>
              <w:t>Outils de traçabilité des informations de maintenance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2AA25" w14:textId="1AD15B87" w:rsidR="002E071A" w:rsidRDefault="002E071A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32" w:history="1">
            <w:r w:rsidRPr="00AE0A6C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AE0A6C">
              <w:rPr>
                <w:rStyle w:val="Lienhypertexte"/>
                <w:rFonts w:eastAsiaTheme="majorEastAsia"/>
                <w:caps/>
                <w:noProof/>
              </w:rPr>
              <w:t>2.4-Description des moyens mis en œuvre pour permettre la maintenance, l’exploitation et la mise à jour du système de supervision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60DBC" w14:textId="4E915287" w:rsidR="002E071A" w:rsidRDefault="002E071A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12215133" w:history="1">
            <w:r w:rsidRPr="00AE0A6C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Pr="00AE0A6C">
              <w:rPr>
                <w:rStyle w:val="Lienhypertexte"/>
                <w:rFonts w:eastAsiaTheme="majorEastAsia"/>
                <w:caps/>
                <w:noProof/>
              </w:rPr>
              <w:t>2.5-Démarche environnementale dans le cadre de la réalisation des prestations (objet du marché)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_Toc212215133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685B2E" w14:textId="1EE992EE" w:rsidR="00B251C5" w:rsidRPr="008917E1" w:rsidRDefault="00B251C5" w:rsidP="005137D5">
          <w:pPr>
            <w:jc w:val="both"/>
          </w:pPr>
          <w:r w:rsidRPr="005137D5">
            <w:rPr>
              <w:b/>
              <w:bCs/>
            </w:rPr>
            <w:fldChar w:fldCharType="end"/>
          </w:r>
        </w:p>
      </w:sdtContent>
    </w:sdt>
    <w:p w14:paraId="4C7EDC4F" w14:textId="77777777" w:rsidR="00B251C5" w:rsidRPr="008917E1" w:rsidRDefault="00B251C5" w:rsidP="005137D5">
      <w:pPr>
        <w:widowControl/>
        <w:autoSpaceDE/>
        <w:autoSpaceDN/>
        <w:spacing w:after="160" w:line="259" w:lineRule="auto"/>
        <w:jc w:val="both"/>
      </w:pPr>
      <w:r w:rsidRPr="008917E1">
        <w:br w:type="page"/>
      </w:r>
    </w:p>
    <w:p w14:paraId="39D6B26B" w14:textId="77777777" w:rsidR="00B019AC" w:rsidRPr="008917E1" w:rsidRDefault="00B019AC" w:rsidP="005137D5">
      <w:pPr>
        <w:widowControl/>
        <w:autoSpaceDE/>
        <w:autoSpaceDN/>
        <w:spacing w:after="160" w:line="259" w:lineRule="auto"/>
        <w:jc w:val="both"/>
        <w:rPr>
          <w:sz w:val="28"/>
          <w:szCs w:val="28"/>
          <w:u w:val="single"/>
        </w:rPr>
      </w:pPr>
    </w:p>
    <w:p w14:paraId="7C87860A" w14:textId="7C75C94D" w:rsidR="001A557E" w:rsidRDefault="001A557E" w:rsidP="00634D66">
      <w:pPr>
        <w:pStyle w:val="Titre1"/>
        <w:numPr>
          <w:ilvl w:val="0"/>
          <w:numId w:val="14"/>
        </w:numPr>
        <w:jc w:val="center"/>
        <w:rPr>
          <w:sz w:val="28"/>
          <w:szCs w:val="28"/>
          <w:u w:val="single"/>
        </w:rPr>
      </w:pPr>
      <w:bookmarkStart w:id="0" w:name="_Toc193726588"/>
      <w:bookmarkStart w:id="1" w:name="_Toc212215126"/>
      <w:r w:rsidRPr="008917E1">
        <w:rPr>
          <w:sz w:val="28"/>
          <w:szCs w:val="28"/>
          <w:u w:val="single"/>
        </w:rPr>
        <w:t>A REMPLIR</w:t>
      </w:r>
      <w:bookmarkEnd w:id="0"/>
      <w:bookmarkEnd w:id="1"/>
    </w:p>
    <w:p w14:paraId="4DB88C07" w14:textId="77777777" w:rsidR="00D03003" w:rsidRPr="00D03003" w:rsidRDefault="00D03003" w:rsidP="00D03003"/>
    <w:tbl>
      <w:tblPr>
        <w:tblW w:w="9638" w:type="dxa"/>
        <w:tblInd w:w="-5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07"/>
        <w:gridCol w:w="7031"/>
      </w:tblGrid>
      <w:tr w:rsidR="00AD6B29" w:rsidRPr="008917E1" w14:paraId="62739594" w14:textId="77777777" w:rsidTr="00AD6B29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2E1F4C" w14:textId="77777777" w:rsidR="00AD6B29" w:rsidRPr="008917E1" w:rsidRDefault="00AD6B29" w:rsidP="005137D5">
            <w:pPr>
              <w:pStyle w:val="Titre1"/>
              <w:ind w:left="360"/>
              <w:jc w:val="both"/>
              <w:rPr>
                <w:b/>
              </w:rPr>
            </w:pPr>
            <w:bookmarkStart w:id="2" w:name="_Toc212215127"/>
            <w:r w:rsidRPr="008917E1">
              <w:rPr>
                <w:rFonts w:ascii="Calibri" w:eastAsia="NSimSun" w:hAnsi="Calibri" w:cs="Mangal"/>
                <w:b/>
                <w:color w:val="auto"/>
                <w:kern w:val="2"/>
                <w:sz w:val="24"/>
                <w:szCs w:val="24"/>
                <w:lang w:eastAsia="zh-CN" w:bidi="hi-IN"/>
              </w:rPr>
              <w:t>COORDONNÉES SOCIÉTÉ</w:t>
            </w:r>
            <w:bookmarkEnd w:id="2"/>
          </w:p>
        </w:tc>
      </w:tr>
      <w:tr w:rsidR="00AD6B29" w:rsidRPr="008917E1" w14:paraId="51E858EB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3E290F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SOCIÉTÉ</w:t>
            </w:r>
            <w:r w:rsidR="006E1691" w:rsidRPr="008917E1">
              <w:rPr>
                <w:rFonts w:ascii="Calibri" w:hAnsi="Calibri"/>
              </w:rPr>
              <w:t>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B9D334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  <w:tr w:rsidR="00AD6B29" w:rsidRPr="008917E1" w14:paraId="2BDBBB9A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32C083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Référent(s)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03C08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  <w:tr w:rsidR="00AD6B29" w:rsidRPr="008917E1" w14:paraId="0944D075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B8BB5E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Numéro de téléphone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8D65E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  <w:tr w:rsidR="00AD6B29" w:rsidRPr="008917E1" w14:paraId="4B5FD0B4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FDD92B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E-mail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811718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</w:tbl>
    <w:p w14:paraId="35D67331" w14:textId="5A2E9CBF" w:rsidR="001C3F81" w:rsidRDefault="001C3F81" w:rsidP="005137D5">
      <w:pPr>
        <w:jc w:val="both"/>
      </w:pPr>
    </w:p>
    <w:p w14:paraId="49402201" w14:textId="6E3DF2D1" w:rsidR="00634D66" w:rsidRPr="00634D66" w:rsidRDefault="00634D66" w:rsidP="00634D66">
      <w:pPr>
        <w:jc w:val="center"/>
        <w:rPr>
          <w:b/>
          <w:bCs/>
          <w:sz w:val="40"/>
          <w:szCs w:val="40"/>
          <w:u w:val="single"/>
        </w:rPr>
      </w:pPr>
      <w:r w:rsidRPr="00634D66">
        <w:rPr>
          <w:b/>
          <w:bCs/>
          <w:sz w:val="40"/>
          <w:szCs w:val="40"/>
          <w:u w:val="single"/>
        </w:rPr>
        <w:t>Lot n° …</w:t>
      </w:r>
    </w:p>
    <w:p w14:paraId="7F0DE48E" w14:textId="77777777" w:rsidR="001A557E" w:rsidRPr="008917E1" w:rsidRDefault="001A557E" w:rsidP="005137D5">
      <w:pPr>
        <w:pStyle w:val="Titre1"/>
        <w:numPr>
          <w:ilvl w:val="0"/>
          <w:numId w:val="14"/>
        </w:numPr>
        <w:jc w:val="both"/>
        <w:rPr>
          <w:sz w:val="28"/>
          <w:szCs w:val="28"/>
          <w:u w:val="single"/>
        </w:rPr>
      </w:pPr>
      <w:bookmarkStart w:id="3" w:name="_Toc193726590"/>
      <w:bookmarkStart w:id="4" w:name="_Toc212215128"/>
      <w:r w:rsidRPr="008917E1">
        <w:rPr>
          <w:sz w:val="28"/>
          <w:szCs w:val="28"/>
          <w:u w:val="single"/>
        </w:rPr>
        <w:t>CONSIGNES IMPORTANTES</w:t>
      </w:r>
      <w:bookmarkEnd w:id="3"/>
      <w:bookmarkEnd w:id="4"/>
    </w:p>
    <w:p w14:paraId="53061FE9" w14:textId="411C0067" w:rsidR="00AD6B29" w:rsidRDefault="00AD6B29" w:rsidP="005137D5">
      <w:pPr>
        <w:jc w:val="both"/>
        <w:rPr>
          <w:rStyle w:val="Policepardfaut1"/>
          <w:rFonts w:eastAsiaTheme="majorEastAsia"/>
          <w:b/>
          <w:bCs/>
        </w:rPr>
      </w:pPr>
      <w:r w:rsidRPr="008917E1">
        <w:rPr>
          <w:rStyle w:val="Policepardfaut1"/>
          <w:rFonts w:eastAsiaTheme="majorEastAsia"/>
          <w:b/>
          <w:bCs/>
        </w:rPr>
        <w:t xml:space="preserve">Le candidat doit respecter </w:t>
      </w:r>
      <w:r w:rsidR="00E71D9D" w:rsidRPr="008917E1">
        <w:rPr>
          <w:rStyle w:val="Policepardfaut1"/>
          <w:rFonts w:eastAsiaTheme="majorEastAsia"/>
          <w:b/>
          <w:bCs/>
        </w:rPr>
        <w:t>le format</w:t>
      </w:r>
      <w:r w:rsidRPr="008917E1">
        <w:rPr>
          <w:rStyle w:val="Policepardfaut1"/>
          <w:rFonts w:eastAsiaTheme="majorEastAsia"/>
          <w:b/>
          <w:bCs/>
        </w:rPr>
        <w:t xml:space="preserve"> du cadre de ce mémoire technique</w:t>
      </w:r>
      <w:r w:rsidR="00C32A34" w:rsidRPr="005137D5">
        <w:rPr>
          <w:rStyle w:val="Policepardfaut1"/>
          <w:rFonts w:eastAsiaTheme="majorEastAsia"/>
          <w:b/>
          <w:bCs/>
        </w:rPr>
        <w:t xml:space="preserve">. </w:t>
      </w:r>
      <w:r w:rsidRPr="005137D5">
        <w:rPr>
          <w:rStyle w:val="Policepardfaut1"/>
          <w:rFonts w:eastAsiaTheme="majorEastAsia"/>
          <w:b/>
          <w:bCs/>
        </w:rPr>
        <w:t xml:space="preserve"> </w:t>
      </w:r>
      <w:r w:rsidR="00E71BF4" w:rsidRPr="005137D5">
        <w:rPr>
          <w:rStyle w:val="Policepardfaut1"/>
          <w:rFonts w:eastAsiaTheme="majorEastAsia"/>
          <w:b/>
          <w:bCs/>
        </w:rPr>
        <w:t>Le nombre de pages n’est cependant pas limité</w:t>
      </w:r>
    </w:p>
    <w:p w14:paraId="6A483BEB" w14:textId="77777777" w:rsidR="00110FB7" w:rsidRPr="008917E1" w:rsidRDefault="00110FB7" w:rsidP="005137D5">
      <w:pPr>
        <w:jc w:val="both"/>
        <w:rPr>
          <w:rStyle w:val="Policepardfaut1"/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u w:val="single"/>
        </w:rPr>
      </w:pPr>
    </w:p>
    <w:p w14:paraId="2D02FF18" w14:textId="678DE5FE" w:rsidR="00AD6B29" w:rsidRPr="00110FB7" w:rsidRDefault="00AD6B29">
      <w:pPr>
        <w:jc w:val="both"/>
        <w:rPr>
          <w:rStyle w:val="Policepardfaut1"/>
          <w:rFonts w:eastAsiaTheme="majorEastAsia"/>
          <w:b/>
          <w:bCs/>
          <w:u w:val="single"/>
        </w:rPr>
      </w:pPr>
      <w:r w:rsidRPr="008917E1">
        <w:rPr>
          <w:rStyle w:val="Policepardfaut1"/>
          <w:rFonts w:eastAsiaTheme="majorEastAsia"/>
          <w:b/>
          <w:bCs/>
        </w:rPr>
        <w:t>Si une annexe est adjointe à la réponse, le candidat devra faire figurer dans le</w:t>
      </w:r>
      <w:r w:rsidR="00110FB7">
        <w:rPr>
          <w:rStyle w:val="Policepardfaut1"/>
          <w:rFonts w:eastAsiaTheme="majorEastAsia"/>
          <w:b/>
          <w:bCs/>
        </w:rPr>
        <w:t xml:space="preserve"> cadre de mémoire technique, </w:t>
      </w:r>
      <w:r w:rsidRPr="008917E1">
        <w:rPr>
          <w:rStyle w:val="Policepardfaut1"/>
          <w:rFonts w:eastAsiaTheme="majorEastAsia"/>
          <w:b/>
          <w:bCs/>
        </w:rPr>
        <w:t xml:space="preserve">l’endroit précis où sont formulées les réponses (titre du document, </w:t>
      </w:r>
      <w:r w:rsidR="001F162E" w:rsidRPr="008917E1">
        <w:rPr>
          <w:rStyle w:val="Policepardfaut1"/>
          <w:rFonts w:eastAsiaTheme="majorEastAsia"/>
          <w:b/>
          <w:bCs/>
        </w:rPr>
        <w:t xml:space="preserve">paragraphes et </w:t>
      </w:r>
      <w:r w:rsidRPr="008917E1">
        <w:rPr>
          <w:rStyle w:val="Policepardfaut1"/>
          <w:rFonts w:eastAsiaTheme="majorEastAsia"/>
          <w:b/>
          <w:bCs/>
        </w:rPr>
        <w:t>pages concernées).</w:t>
      </w:r>
      <w:r w:rsidR="00110FB7">
        <w:rPr>
          <w:rStyle w:val="Policepardfaut1"/>
          <w:rFonts w:eastAsiaTheme="majorEastAsia"/>
          <w:b/>
          <w:bCs/>
        </w:rPr>
        <w:t xml:space="preserve"> Si les informations ne sont pas reportées dans le cadre de mémoire technique, ou en l’absence de renvoi aux documents, pages et paragraphes au sein de celui-ci, </w:t>
      </w:r>
      <w:r w:rsidR="00110FB7" w:rsidRPr="00110FB7">
        <w:rPr>
          <w:rStyle w:val="Policepardfaut1"/>
          <w:rFonts w:eastAsiaTheme="majorEastAsia"/>
          <w:b/>
          <w:bCs/>
          <w:u w:val="single"/>
        </w:rPr>
        <w:t xml:space="preserve">cela entrainera l’irrégularité de l’offre remise. </w:t>
      </w:r>
    </w:p>
    <w:p w14:paraId="3979B0AB" w14:textId="77777777" w:rsidR="00D03003" w:rsidRPr="008917E1" w:rsidRDefault="00D03003">
      <w:pPr>
        <w:jc w:val="both"/>
        <w:rPr>
          <w:rStyle w:val="Policepardfaut1"/>
          <w:rFonts w:eastAsiaTheme="majorEastAsia"/>
          <w:b/>
          <w:bCs/>
        </w:rPr>
      </w:pPr>
    </w:p>
    <w:p w14:paraId="03156247" w14:textId="4B573E56" w:rsidR="00D03003" w:rsidRPr="00AD75EF" w:rsidRDefault="00BB558D" w:rsidP="00AD75EF">
      <w:pPr>
        <w:pStyle w:val="Titre1"/>
        <w:numPr>
          <w:ilvl w:val="0"/>
          <w:numId w:val="14"/>
        </w:numPr>
        <w:spacing w:before="79"/>
        <w:ind w:right="-19"/>
        <w:jc w:val="both"/>
        <w:rPr>
          <w:caps/>
          <w:sz w:val="28"/>
          <w:szCs w:val="28"/>
          <w:u w:val="single"/>
        </w:rPr>
      </w:pPr>
      <w:bookmarkStart w:id="5" w:name="_Toc212215129"/>
      <w:r w:rsidRPr="00911478">
        <w:rPr>
          <w:caps/>
          <w:sz w:val="28"/>
          <w:szCs w:val="28"/>
          <w:u w:val="single"/>
        </w:rPr>
        <w:t xml:space="preserve">QUESTION </w:t>
      </w:r>
      <w:r w:rsidR="00E71BF4" w:rsidRPr="00911478">
        <w:rPr>
          <w:caps/>
          <w:sz w:val="28"/>
          <w:szCs w:val="28"/>
          <w:u w:val="single"/>
        </w:rPr>
        <w:t>2.1</w:t>
      </w:r>
      <w:r w:rsidRPr="00911478">
        <w:rPr>
          <w:caps/>
          <w:sz w:val="28"/>
          <w:szCs w:val="28"/>
          <w:u w:val="single"/>
        </w:rPr>
        <w:t xml:space="preserve"> – </w:t>
      </w:r>
      <w:r w:rsidR="004107FE" w:rsidRPr="004107FE">
        <w:rPr>
          <w:caps/>
          <w:sz w:val="28"/>
          <w:szCs w:val="28"/>
          <w:u w:val="single"/>
        </w:rPr>
        <w:t>Organisation et moyens humains proposés pour l’exécution de la mission</w:t>
      </w:r>
      <w:bookmarkEnd w:id="5"/>
    </w:p>
    <w:p w14:paraId="5DCB2DD6" w14:textId="55F3BFE4" w:rsidR="00642A7C" w:rsidRPr="00911478" w:rsidRDefault="00642A7C" w:rsidP="00D03003">
      <w:pPr>
        <w:pStyle w:val="Titre1"/>
        <w:spacing w:before="79"/>
        <w:ind w:left="1080" w:right="-19"/>
        <w:jc w:val="both"/>
        <w:rPr>
          <w:rFonts w:ascii="Trebuchet MS" w:eastAsia="Trebuchet MS" w:hAnsi="Trebuchet MS" w:cs="Trebuchet MS"/>
          <w:i/>
          <w:color w:val="000000"/>
          <w:sz w:val="20"/>
        </w:rPr>
      </w:pPr>
      <w:r w:rsidRPr="00911478">
        <w:rPr>
          <w:caps/>
          <w:sz w:val="28"/>
          <w:szCs w:val="28"/>
          <w:u w:val="single"/>
        </w:rPr>
        <w:t xml:space="preserve"> </w:t>
      </w:r>
    </w:p>
    <w:p w14:paraId="618B7234" w14:textId="23DDC1A7" w:rsidR="00E71D9D" w:rsidRDefault="00E71D9D" w:rsidP="005137D5">
      <w:pPr>
        <w:pStyle w:val="Default"/>
        <w:jc w:val="both"/>
      </w:pPr>
    </w:p>
    <w:p w14:paraId="0D5AF651" w14:textId="75A84250" w:rsidR="00AD75EF" w:rsidRDefault="00AD75EF" w:rsidP="005137D5">
      <w:pPr>
        <w:pStyle w:val="Default"/>
        <w:jc w:val="both"/>
      </w:pPr>
    </w:p>
    <w:p w14:paraId="5304DC71" w14:textId="77777777" w:rsidR="00AD75EF" w:rsidRPr="008917E1" w:rsidRDefault="00AD75EF" w:rsidP="005137D5">
      <w:pPr>
        <w:pStyle w:val="Default"/>
        <w:jc w:val="both"/>
      </w:pPr>
    </w:p>
    <w:p w14:paraId="3DA926EF" w14:textId="24557D25" w:rsidR="00BB558D" w:rsidRDefault="00BB558D" w:rsidP="005137D5">
      <w:pPr>
        <w:pStyle w:val="Titre1"/>
        <w:numPr>
          <w:ilvl w:val="0"/>
          <w:numId w:val="14"/>
        </w:numPr>
        <w:jc w:val="both"/>
        <w:rPr>
          <w:caps/>
          <w:sz w:val="28"/>
          <w:szCs w:val="28"/>
          <w:u w:val="single"/>
        </w:rPr>
      </w:pPr>
      <w:bookmarkStart w:id="6" w:name="_Toc212215130"/>
      <w:r w:rsidRPr="00911478">
        <w:rPr>
          <w:caps/>
          <w:sz w:val="28"/>
          <w:szCs w:val="28"/>
          <w:u w:val="single"/>
        </w:rPr>
        <w:t xml:space="preserve">QUESTION </w:t>
      </w:r>
      <w:r w:rsidR="00AD75EF" w:rsidRPr="00AD75EF">
        <w:rPr>
          <w:caps/>
          <w:sz w:val="28"/>
          <w:szCs w:val="28"/>
          <w:u w:val="single"/>
        </w:rPr>
        <w:t>2.2</w:t>
      </w:r>
      <w:r w:rsidR="00110FB7">
        <w:rPr>
          <w:caps/>
          <w:sz w:val="28"/>
          <w:szCs w:val="28"/>
          <w:u w:val="single"/>
        </w:rPr>
        <w:t xml:space="preserve"> </w:t>
      </w:r>
      <w:r w:rsidR="00AD75EF" w:rsidRPr="00AD75EF">
        <w:rPr>
          <w:caps/>
          <w:sz w:val="28"/>
          <w:szCs w:val="28"/>
          <w:u w:val="single"/>
        </w:rPr>
        <w:t>-</w:t>
      </w:r>
      <w:r w:rsidR="00110FB7">
        <w:rPr>
          <w:caps/>
          <w:sz w:val="28"/>
          <w:szCs w:val="28"/>
          <w:u w:val="single"/>
        </w:rPr>
        <w:t xml:space="preserve"> </w:t>
      </w:r>
      <w:r w:rsidR="004107FE" w:rsidRPr="004107FE">
        <w:rPr>
          <w:caps/>
          <w:sz w:val="28"/>
          <w:szCs w:val="28"/>
          <w:u w:val="single"/>
        </w:rPr>
        <w:t>Modalités d’approvisionnement des pièces détachées</w:t>
      </w:r>
      <w:bookmarkEnd w:id="6"/>
    </w:p>
    <w:p w14:paraId="79CCEC3F" w14:textId="77777777" w:rsidR="00D03003" w:rsidRPr="00D03003" w:rsidRDefault="00D03003" w:rsidP="00D03003"/>
    <w:p w14:paraId="0427ADF8" w14:textId="5A61E562" w:rsidR="002F7DD9" w:rsidRDefault="002F7DD9" w:rsidP="005137D5">
      <w:pPr>
        <w:pStyle w:val="Default"/>
        <w:jc w:val="both"/>
        <w:rPr>
          <w:rFonts w:eastAsia="Trebuchet MS"/>
          <w:i/>
          <w:sz w:val="20"/>
          <w:szCs w:val="22"/>
        </w:rPr>
      </w:pPr>
    </w:p>
    <w:p w14:paraId="78A9C454" w14:textId="77777777" w:rsidR="00AD75EF" w:rsidRPr="008917E1" w:rsidRDefault="00AD75EF" w:rsidP="005137D5">
      <w:pPr>
        <w:pStyle w:val="Default"/>
        <w:jc w:val="both"/>
      </w:pPr>
    </w:p>
    <w:p w14:paraId="637A30A0" w14:textId="4B700565" w:rsidR="00E71BF4" w:rsidRPr="008917E1" w:rsidRDefault="00E71BF4" w:rsidP="005137D5">
      <w:pPr>
        <w:pStyle w:val="Default"/>
        <w:jc w:val="both"/>
      </w:pPr>
    </w:p>
    <w:p w14:paraId="4EBB2AD6" w14:textId="2FC28496" w:rsidR="00A77FCB" w:rsidRPr="002E05EE" w:rsidRDefault="00A77FCB" w:rsidP="002E05EE">
      <w:pPr>
        <w:pStyle w:val="Titre1"/>
        <w:numPr>
          <w:ilvl w:val="0"/>
          <w:numId w:val="14"/>
        </w:numPr>
        <w:jc w:val="both"/>
        <w:rPr>
          <w:i/>
          <w:caps/>
          <w:sz w:val="28"/>
          <w:szCs w:val="28"/>
          <w:u w:val="single"/>
        </w:rPr>
      </w:pPr>
      <w:bookmarkStart w:id="7" w:name="_Toc212215131"/>
      <w:r w:rsidRPr="00911478">
        <w:rPr>
          <w:caps/>
          <w:sz w:val="28"/>
          <w:szCs w:val="28"/>
          <w:u w:val="single"/>
        </w:rPr>
        <w:t>QUESTION 2.3 –</w:t>
      </w:r>
      <w:r w:rsidR="002E05EE">
        <w:rPr>
          <w:caps/>
          <w:sz w:val="28"/>
          <w:szCs w:val="28"/>
          <w:u w:val="single"/>
        </w:rPr>
        <w:t xml:space="preserve"> </w:t>
      </w:r>
      <w:r w:rsidR="004107FE" w:rsidRPr="004107FE">
        <w:rPr>
          <w:iCs/>
          <w:caps/>
          <w:sz w:val="28"/>
          <w:szCs w:val="28"/>
          <w:u w:val="single"/>
        </w:rPr>
        <w:t>Outils de traçabilité des informations de maintenance</w:t>
      </w:r>
      <w:bookmarkEnd w:id="7"/>
    </w:p>
    <w:p w14:paraId="78DF9038" w14:textId="77777777" w:rsidR="00D03003" w:rsidRPr="00D03003" w:rsidRDefault="00D03003" w:rsidP="00D03003"/>
    <w:p w14:paraId="590A805D" w14:textId="46C425AB" w:rsidR="00E76BB1" w:rsidRDefault="00E76BB1" w:rsidP="00006C6A">
      <w:pPr>
        <w:tabs>
          <w:tab w:val="left" w:pos="3175"/>
        </w:tabs>
      </w:pPr>
      <w:bookmarkStart w:id="8" w:name="_Toc171358398"/>
      <w:bookmarkStart w:id="9" w:name="_Toc171358481"/>
      <w:bookmarkStart w:id="10" w:name="_Toc171358399"/>
      <w:bookmarkStart w:id="11" w:name="_Toc171358482"/>
      <w:bookmarkStart w:id="12" w:name="_Toc171358400"/>
      <w:bookmarkStart w:id="13" w:name="_Toc171358483"/>
      <w:bookmarkStart w:id="14" w:name="_Toc171358401"/>
      <w:bookmarkStart w:id="15" w:name="_Toc171358484"/>
      <w:bookmarkStart w:id="16" w:name="_Toc171358402"/>
      <w:bookmarkStart w:id="17" w:name="_Toc171358485"/>
      <w:bookmarkStart w:id="18" w:name="_Toc171358403"/>
      <w:bookmarkStart w:id="19" w:name="_Toc171358486"/>
      <w:bookmarkStart w:id="20" w:name="_Toc171358404"/>
      <w:bookmarkStart w:id="21" w:name="_Toc171358487"/>
      <w:bookmarkStart w:id="22" w:name="_Toc171358405"/>
      <w:bookmarkStart w:id="23" w:name="_Toc171358488"/>
      <w:bookmarkStart w:id="24" w:name="_Toc171358406"/>
      <w:bookmarkStart w:id="25" w:name="_Toc171358489"/>
      <w:bookmarkStart w:id="26" w:name="_Toc171358407"/>
      <w:bookmarkStart w:id="27" w:name="_Toc171358490"/>
      <w:bookmarkStart w:id="28" w:name="_Toc171358408"/>
      <w:bookmarkStart w:id="29" w:name="_Toc171358491"/>
      <w:bookmarkStart w:id="30" w:name="_Toc171358409"/>
      <w:bookmarkStart w:id="31" w:name="_Toc171358492"/>
      <w:bookmarkStart w:id="32" w:name="_Toc171358410"/>
      <w:bookmarkStart w:id="33" w:name="_Toc171358493"/>
      <w:bookmarkStart w:id="34" w:name="_Toc171358411"/>
      <w:bookmarkStart w:id="35" w:name="_Toc17135849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DE5F752" w14:textId="6C2F93BB" w:rsidR="004107FE" w:rsidRDefault="004107FE" w:rsidP="00006C6A">
      <w:pPr>
        <w:tabs>
          <w:tab w:val="left" w:pos="3175"/>
        </w:tabs>
      </w:pPr>
    </w:p>
    <w:p w14:paraId="7843554E" w14:textId="1FAD4BD9" w:rsidR="004107FE" w:rsidRDefault="004107FE" w:rsidP="004107FE">
      <w:pPr>
        <w:pStyle w:val="Titre1"/>
        <w:numPr>
          <w:ilvl w:val="0"/>
          <w:numId w:val="14"/>
        </w:numPr>
        <w:jc w:val="both"/>
        <w:rPr>
          <w:caps/>
          <w:sz w:val="28"/>
          <w:szCs w:val="28"/>
          <w:u w:val="single"/>
        </w:rPr>
      </w:pPr>
      <w:bookmarkStart w:id="36" w:name="_Toc212215132"/>
      <w:r w:rsidRPr="004107FE">
        <w:rPr>
          <w:caps/>
          <w:sz w:val="28"/>
          <w:szCs w:val="28"/>
          <w:u w:val="single"/>
        </w:rPr>
        <w:t>2.4-Description des moyens mis en œuvre pour permettre la maintenance, l’exploitation et la mise à jour du système de supervision</w:t>
      </w:r>
      <w:bookmarkEnd w:id="36"/>
    </w:p>
    <w:p w14:paraId="56438BD6" w14:textId="4678535A" w:rsidR="00672365" w:rsidRDefault="00672365" w:rsidP="00672365"/>
    <w:p w14:paraId="11228DF2" w14:textId="75AC461E" w:rsidR="003528A0" w:rsidRDefault="003528A0" w:rsidP="00672365"/>
    <w:p w14:paraId="6D0AD87E" w14:textId="77777777" w:rsidR="003528A0" w:rsidRDefault="003528A0" w:rsidP="00672365"/>
    <w:p w14:paraId="7630E2F1" w14:textId="3C361654" w:rsidR="00672365" w:rsidRPr="00672365" w:rsidRDefault="00672365" w:rsidP="00672365">
      <w:pPr>
        <w:pStyle w:val="Titre1"/>
        <w:numPr>
          <w:ilvl w:val="0"/>
          <w:numId w:val="14"/>
        </w:numPr>
        <w:jc w:val="both"/>
        <w:rPr>
          <w:caps/>
          <w:sz w:val="28"/>
          <w:szCs w:val="28"/>
          <w:u w:val="single"/>
        </w:rPr>
      </w:pPr>
      <w:bookmarkStart w:id="37" w:name="_Toc212215133"/>
      <w:r>
        <w:rPr>
          <w:caps/>
          <w:sz w:val="28"/>
          <w:szCs w:val="28"/>
          <w:u w:val="single"/>
        </w:rPr>
        <w:t>2.5-</w:t>
      </w:r>
      <w:r w:rsidRPr="00672365">
        <w:rPr>
          <w:caps/>
          <w:sz w:val="28"/>
          <w:szCs w:val="28"/>
          <w:u w:val="single"/>
        </w:rPr>
        <w:t>Démarche environnementale dans le cadre de la réalisation des prestations (objet du marché)</w:t>
      </w:r>
      <w:bookmarkEnd w:id="37"/>
    </w:p>
    <w:sectPr w:rsidR="00672365" w:rsidRPr="006723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C4E1" w14:textId="77777777" w:rsidR="00A647F5" w:rsidRDefault="00A647F5" w:rsidP="00AD6B29">
      <w:r>
        <w:separator/>
      </w:r>
    </w:p>
  </w:endnote>
  <w:endnote w:type="continuationSeparator" w:id="0">
    <w:p w14:paraId="3A1821B2" w14:textId="77777777" w:rsidR="00A647F5" w:rsidRDefault="00A647F5" w:rsidP="00AD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1470" w14:textId="1393F947" w:rsidR="003E1FE6" w:rsidRPr="00AD6B29" w:rsidRDefault="003E1FE6" w:rsidP="003E1FE6">
    <w:pPr>
      <w:jc w:val="center"/>
      <w:rPr>
        <w:sz w:val="16"/>
      </w:rPr>
    </w:pPr>
    <w:r>
      <w:rPr>
        <w:rFonts w:asciiTheme="minorHAnsi" w:hAnsiTheme="minorHAnsi" w:cstheme="minorHAnsi"/>
        <w:szCs w:val="24"/>
        <w:lang w:eastAsia="fr-FR"/>
      </w:rPr>
      <w:t xml:space="preserve">Cadre du mémoire technique                                                                                                                                       </w:t>
    </w:r>
    <w:r w:rsidRPr="003E1FE6">
      <w:rPr>
        <w:rFonts w:asciiTheme="minorHAnsi" w:hAnsiTheme="minorHAnsi" w:cstheme="minorHAnsi"/>
        <w:szCs w:val="24"/>
        <w:lang w:eastAsia="fr-FR"/>
      </w:rPr>
      <w:t xml:space="preserve">Page 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begin"/>
    </w:r>
    <w:r w:rsidRPr="003E1FE6">
      <w:rPr>
        <w:rFonts w:asciiTheme="minorHAnsi" w:hAnsiTheme="minorHAnsi" w:cstheme="minorHAnsi"/>
        <w:b/>
        <w:bCs/>
        <w:szCs w:val="24"/>
        <w:lang w:eastAsia="fr-FR"/>
      </w:rPr>
      <w:instrText>PAGE  \* Arabic  \* MERGEFORMAT</w:instrTex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separate"/>
    </w:r>
    <w:r w:rsidR="00357E0A">
      <w:rPr>
        <w:rFonts w:asciiTheme="minorHAnsi" w:hAnsiTheme="minorHAnsi" w:cstheme="minorHAnsi"/>
        <w:b/>
        <w:bCs/>
        <w:noProof/>
        <w:szCs w:val="24"/>
        <w:lang w:eastAsia="fr-FR"/>
      </w:rPr>
      <w:t>1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end"/>
    </w:r>
    <w:r w:rsidRPr="003E1FE6">
      <w:rPr>
        <w:rFonts w:asciiTheme="minorHAnsi" w:hAnsiTheme="minorHAnsi" w:cstheme="minorHAnsi"/>
        <w:szCs w:val="24"/>
        <w:lang w:eastAsia="fr-FR"/>
      </w:rPr>
      <w:t xml:space="preserve"> sur 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begin"/>
    </w:r>
    <w:r w:rsidRPr="003E1FE6">
      <w:rPr>
        <w:rFonts w:asciiTheme="minorHAnsi" w:hAnsiTheme="minorHAnsi" w:cstheme="minorHAnsi"/>
        <w:b/>
        <w:bCs/>
        <w:szCs w:val="24"/>
        <w:lang w:eastAsia="fr-FR"/>
      </w:rPr>
      <w:instrText>NUMPAGES  \* Arabic  \* MERGEFORMAT</w:instrTex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separate"/>
    </w:r>
    <w:r w:rsidR="00357E0A">
      <w:rPr>
        <w:rFonts w:asciiTheme="minorHAnsi" w:hAnsiTheme="minorHAnsi" w:cstheme="minorHAnsi"/>
        <w:b/>
        <w:bCs/>
        <w:noProof/>
        <w:szCs w:val="24"/>
        <w:lang w:eastAsia="fr-FR"/>
      </w:rPr>
      <w:t>2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end"/>
    </w:r>
  </w:p>
  <w:p w14:paraId="59C8D418" w14:textId="77777777" w:rsidR="003E1FE6" w:rsidRDefault="003E1F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B663" w14:textId="77777777" w:rsidR="00A647F5" w:rsidRDefault="00A647F5" w:rsidP="00AD6B29">
      <w:r>
        <w:separator/>
      </w:r>
    </w:p>
  </w:footnote>
  <w:footnote w:type="continuationSeparator" w:id="0">
    <w:p w14:paraId="239086CB" w14:textId="77777777" w:rsidR="00A647F5" w:rsidRDefault="00A647F5" w:rsidP="00AD6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8A09" w14:textId="5925E374" w:rsidR="00AD6B29" w:rsidRDefault="00AD6B29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3225B" wp14:editId="345EAE0D">
              <wp:simplePos x="0" y="0"/>
              <wp:positionH relativeFrom="column">
                <wp:posOffset>1700530</wp:posOffset>
              </wp:positionH>
              <wp:positionV relativeFrom="paragraph">
                <wp:posOffset>64770</wp:posOffset>
              </wp:positionV>
              <wp:extent cx="4754880" cy="1028700"/>
              <wp:effectExtent l="0" t="0" r="762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488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W w:w="4990" w:type="pct"/>
                            <w:tblCellSpacing w:w="15" w:type="dxa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7131"/>
                            <w:gridCol w:w="45"/>
                          </w:tblGrid>
                          <w:tr w:rsidR="00AD6B29" w:rsidRPr="00AD6B29" w14:paraId="7C8FD50F" w14:textId="77777777" w:rsidTr="00AD6B29">
                            <w:trPr>
                              <w:gridAfter w:val="1"/>
                              <w:tblCellSpacing w:w="15" w:type="dxa"/>
                            </w:trPr>
                            <w:tc>
                              <w:tcPr>
                                <w:tcW w:w="0" w:type="auto"/>
                                <w:vAlign w:val="center"/>
                                <w:hideMark/>
                              </w:tcPr>
                              <w:p w14:paraId="77FE9465" w14:textId="77777777" w:rsidR="00AD6B29" w:rsidRPr="00642A7C" w:rsidRDefault="00AD6B29" w:rsidP="00AD6B29">
                                <w:pPr>
                                  <w:widowControl/>
                                  <w:autoSpaceDE/>
                                  <w:autoSpaceDN/>
                                  <w:jc w:val="center"/>
                                  <w:rPr>
                                    <w:rFonts w:asciiTheme="minorHAnsi" w:hAnsiTheme="minorHAnsi" w:cstheme="minorHAnsi"/>
                                    <w:sz w:val="32"/>
                                    <w:szCs w:val="24"/>
                                    <w:lang w:eastAsia="fr-FR"/>
                                  </w:rPr>
                                </w:pPr>
                              </w:p>
                            </w:tc>
                          </w:tr>
                          <w:tr w:rsidR="00AD6B29" w:rsidRPr="00006C6A" w14:paraId="19755F94" w14:textId="77777777" w:rsidTr="00AD6B29">
                            <w:trPr>
                              <w:tblCellSpacing w:w="15" w:type="dxa"/>
                            </w:trPr>
                            <w:tc>
                              <w:tcPr>
                                <w:tcW w:w="0" w:type="auto"/>
                                <w:gridSpan w:val="2"/>
                                <w:vAlign w:val="center"/>
                                <w:hideMark/>
                              </w:tcPr>
                              <w:p w14:paraId="18AF55A5" w14:textId="202D515A" w:rsidR="00AD6B29" w:rsidRPr="00642A7C" w:rsidRDefault="00AD6B29" w:rsidP="00D03003">
                                <w:pPr>
                                  <w:widowControl/>
                                  <w:autoSpaceDE/>
                                  <w:autoSpaceDN/>
                                  <w:jc w:val="center"/>
                                  <w:rPr>
                                    <w:rFonts w:asciiTheme="minorHAnsi" w:hAnsiTheme="minorHAnsi" w:cstheme="minorHAnsi"/>
                                    <w:sz w:val="32"/>
                                    <w:szCs w:val="24"/>
                                    <w:lang w:eastAsia="fr-FR"/>
                                  </w:rPr>
                                </w:pPr>
                              </w:p>
                            </w:tc>
                          </w:tr>
                        </w:tbl>
                        <w:p w14:paraId="46E072ED" w14:textId="77777777" w:rsidR="00AD6B29" w:rsidRPr="00AD6B29" w:rsidRDefault="00AD6B29" w:rsidP="003E1FE6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3225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133.9pt;margin-top:5.1pt;width:374.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" fillcolor="white [3201]" stroked="f" strokeweight=".5pt">
              <v:textbox>
                <w:txbxContent>
                  <w:tbl>
                    <w:tblPr>
                      <w:tblW w:w="4990" w:type="pct"/>
                      <w:tblCellSpacing w:w="15" w:type="dxa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7131"/>
                      <w:gridCol w:w="45"/>
                    </w:tblGrid>
                    <w:tr w:rsidR="00AD6B29" w:rsidRPr="00AD6B29" w14:paraId="7C8FD50F" w14:textId="77777777" w:rsidTr="00AD6B29">
                      <w:trPr>
                        <w:gridAfter w:val="1"/>
                        <w:tblCellSpacing w:w="15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14:paraId="77FE9465" w14:textId="77777777" w:rsidR="00AD6B29" w:rsidRPr="00642A7C" w:rsidRDefault="00AD6B29" w:rsidP="00AD6B29">
                          <w:pPr>
                            <w:widowControl/>
                            <w:autoSpaceDE/>
                            <w:autoSpaceDN/>
                            <w:jc w:val="center"/>
                            <w:rPr>
                              <w:rFonts w:asciiTheme="minorHAnsi" w:hAnsiTheme="minorHAnsi" w:cstheme="minorHAnsi"/>
                              <w:sz w:val="32"/>
                              <w:szCs w:val="24"/>
                              <w:lang w:eastAsia="fr-FR"/>
                            </w:rPr>
                          </w:pPr>
                        </w:p>
                      </w:tc>
                    </w:tr>
                    <w:tr w:rsidR="00AD6B29" w:rsidRPr="00006C6A" w14:paraId="19755F94" w14:textId="77777777" w:rsidTr="00AD6B29">
                      <w:trPr>
                        <w:tblCellSpacing w:w="15" w:type="dxa"/>
                      </w:trPr>
                      <w:tc>
                        <w:tcPr>
                          <w:tcW w:w="0" w:type="auto"/>
                          <w:gridSpan w:val="2"/>
                          <w:vAlign w:val="center"/>
                          <w:hideMark/>
                        </w:tcPr>
                        <w:p w14:paraId="18AF55A5" w14:textId="202D515A" w:rsidR="00AD6B29" w:rsidRPr="00642A7C" w:rsidRDefault="00AD6B29" w:rsidP="00D03003">
                          <w:pPr>
                            <w:widowControl/>
                            <w:autoSpaceDE/>
                            <w:autoSpaceDN/>
                            <w:jc w:val="center"/>
                            <w:rPr>
                              <w:rFonts w:asciiTheme="minorHAnsi" w:hAnsiTheme="minorHAnsi" w:cstheme="minorHAnsi"/>
                              <w:sz w:val="32"/>
                              <w:szCs w:val="24"/>
                              <w:lang w:eastAsia="fr-FR"/>
                            </w:rPr>
                          </w:pPr>
                        </w:p>
                      </w:tc>
                    </w:tr>
                  </w:tbl>
                  <w:p w14:paraId="46E072ED" w14:textId="77777777" w:rsidR="00AD6B29" w:rsidRPr="00AD6B29" w:rsidRDefault="00AD6B29" w:rsidP="003E1FE6">
                    <w:pPr>
                      <w:jc w:val="center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03003" w:rsidRPr="00D03003">
      <w:rPr>
        <w:noProof/>
      </w:rPr>
      <w:t xml:space="preserve"> </w:t>
    </w:r>
    <w:r w:rsidR="00D03003">
      <w:rPr>
        <w:noProof/>
        <w:lang w:eastAsia="fr-FR"/>
      </w:rPr>
      <w:drawing>
        <wp:inline distT="0" distB="0" distL="0" distR="0" wp14:anchorId="544980F8" wp14:editId="06854959">
          <wp:extent cx="1628775" cy="1219200"/>
          <wp:effectExtent l="0" t="0" r="9525" b="0"/>
          <wp:docPr id="1" name="Image 3" descr="Logo CHU-BDX-RV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 descr="Logo CHU-BDX-RV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C9D"/>
    <w:multiLevelType w:val="hybridMultilevel"/>
    <w:tmpl w:val="7EFE4958"/>
    <w:lvl w:ilvl="0" w:tplc="6B74CCE2">
      <w:start w:val="1"/>
      <w:numFmt w:val="bullet"/>
      <w:lvlText w:val="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261E7C"/>
    <w:multiLevelType w:val="hybridMultilevel"/>
    <w:tmpl w:val="1A963D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74257"/>
    <w:multiLevelType w:val="hybridMultilevel"/>
    <w:tmpl w:val="85800DF6"/>
    <w:lvl w:ilvl="0" w:tplc="ACF0FED2">
      <w:start w:val="6"/>
      <w:numFmt w:val="bullet"/>
      <w:lvlText w:val="-"/>
      <w:lvlJc w:val="left"/>
      <w:pPr>
        <w:ind w:left="643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16D813F4"/>
    <w:multiLevelType w:val="multilevel"/>
    <w:tmpl w:val="696A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84023C"/>
    <w:multiLevelType w:val="multilevel"/>
    <w:tmpl w:val="C8F87CC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F39084F"/>
    <w:multiLevelType w:val="hybridMultilevel"/>
    <w:tmpl w:val="E7E85258"/>
    <w:lvl w:ilvl="0" w:tplc="C1BE0980">
      <w:start w:val="1"/>
      <w:numFmt w:val="decimal"/>
      <w:lvlText w:val="4.1.%1"/>
      <w:lvlJc w:val="left"/>
      <w:pPr>
        <w:ind w:left="644" w:hanging="360"/>
      </w:pPr>
      <w:rPr>
        <w:rFonts w:ascii="Times New Roman" w:hAnsi="Times New Roman" w:hint="default"/>
        <w:b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16B4C"/>
    <w:multiLevelType w:val="hybridMultilevel"/>
    <w:tmpl w:val="4372C24E"/>
    <w:lvl w:ilvl="0" w:tplc="9E92AE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E61D0"/>
    <w:multiLevelType w:val="hybridMultilevel"/>
    <w:tmpl w:val="5E24FA98"/>
    <w:lvl w:ilvl="0" w:tplc="31526C70">
      <w:start w:val="3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E5DCB"/>
    <w:multiLevelType w:val="hybridMultilevel"/>
    <w:tmpl w:val="E3B41A1E"/>
    <w:lvl w:ilvl="0" w:tplc="0410228A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7250E"/>
    <w:multiLevelType w:val="hybridMultilevel"/>
    <w:tmpl w:val="4E06C1A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AE0E37"/>
    <w:multiLevelType w:val="hybridMultilevel"/>
    <w:tmpl w:val="5F420562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044BE3"/>
    <w:multiLevelType w:val="hybridMultilevel"/>
    <w:tmpl w:val="7B68BE00"/>
    <w:lvl w:ilvl="0" w:tplc="53E84794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366C3"/>
    <w:multiLevelType w:val="hybridMultilevel"/>
    <w:tmpl w:val="89A88380"/>
    <w:lvl w:ilvl="0" w:tplc="A82411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668CD"/>
    <w:multiLevelType w:val="multilevel"/>
    <w:tmpl w:val="B71A1410"/>
    <w:lvl w:ilvl="0">
      <w:start w:val="1"/>
      <w:numFmt w:val="decimal"/>
      <w:pStyle w:val="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9E24D94"/>
    <w:multiLevelType w:val="hybridMultilevel"/>
    <w:tmpl w:val="628AA812"/>
    <w:lvl w:ilvl="0" w:tplc="EAE4DB3E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941BF"/>
    <w:multiLevelType w:val="hybridMultilevel"/>
    <w:tmpl w:val="E2E89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72035"/>
    <w:multiLevelType w:val="hybridMultilevel"/>
    <w:tmpl w:val="788E6C62"/>
    <w:lvl w:ilvl="0" w:tplc="0410228A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517E9"/>
    <w:multiLevelType w:val="multilevel"/>
    <w:tmpl w:val="190E9C6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61C03C02"/>
    <w:multiLevelType w:val="multilevel"/>
    <w:tmpl w:val="B8AA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D4A07DA"/>
    <w:multiLevelType w:val="multilevel"/>
    <w:tmpl w:val="D08C251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0" w15:restartNumberingAfterBreak="0">
    <w:nsid w:val="73A849D9"/>
    <w:multiLevelType w:val="hybridMultilevel"/>
    <w:tmpl w:val="C340F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56CC2"/>
    <w:multiLevelType w:val="hybridMultilevel"/>
    <w:tmpl w:val="224CFEF2"/>
    <w:lvl w:ilvl="0" w:tplc="4D0AF6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5"/>
  </w:num>
  <w:num w:numId="5">
    <w:abstractNumId w:val="18"/>
  </w:num>
  <w:num w:numId="6">
    <w:abstractNumId w:val="2"/>
  </w:num>
  <w:num w:numId="7">
    <w:abstractNumId w:val="6"/>
  </w:num>
  <w:num w:numId="8">
    <w:abstractNumId w:val="21"/>
  </w:num>
  <w:num w:numId="9">
    <w:abstractNumId w:val="17"/>
  </w:num>
  <w:num w:numId="10">
    <w:abstractNumId w:val="4"/>
  </w:num>
  <w:num w:numId="11">
    <w:abstractNumId w:val="19"/>
  </w:num>
  <w:num w:numId="12">
    <w:abstractNumId w:val="0"/>
  </w:num>
  <w:num w:numId="13">
    <w:abstractNumId w:val="1"/>
  </w:num>
  <w:num w:numId="14">
    <w:abstractNumId w:val="9"/>
  </w:num>
  <w:num w:numId="15">
    <w:abstractNumId w:val="14"/>
  </w:num>
  <w:num w:numId="16">
    <w:abstractNumId w:val="10"/>
  </w:num>
  <w:num w:numId="17">
    <w:abstractNumId w:val="8"/>
  </w:num>
  <w:num w:numId="18">
    <w:abstractNumId w:val="16"/>
  </w:num>
  <w:num w:numId="19">
    <w:abstractNumId w:val="12"/>
  </w:num>
  <w:num w:numId="20">
    <w:abstractNumId w:val="3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F81"/>
    <w:rsid w:val="00006C6A"/>
    <w:rsid w:val="00060741"/>
    <w:rsid w:val="00065D2F"/>
    <w:rsid w:val="000D1776"/>
    <w:rsid w:val="00102BF6"/>
    <w:rsid w:val="00110FB7"/>
    <w:rsid w:val="001451D7"/>
    <w:rsid w:val="00160A5C"/>
    <w:rsid w:val="00171003"/>
    <w:rsid w:val="00171607"/>
    <w:rsid w:val="001A2803"/>
    <w:rsid w:val="001A557E"/>
    <w:rsid w:val="001C3F81"/>
    <w:rsid w:val="001D2B73"/>
    <w:rsid w:val="001D7A71"/>
    <w:rsid w:val="001E4F97"/>
    <w:rsid w:val="001F162E"/>
    <w:rsid w:val="0023539C"/>
    <w:rsid w:val="00237F8A"/>
    <w:rsid w:val="00256FA4"/>
    <w:rsid w:val="00296B27"/>
    <w:rsid w:val="002D355B"/>
    <w:rsid w:val="002D7132"/>
    <w:rsid w:val="002E05EE"/>
    <w:rsid w:val="002E071A"/>
    <w:rsid w:val="002F38C7"/>
    <w:rsid w:val="002F7DD9"/>
    <w:rsid w:val="00303F87"/>
    <w:rsid w:val="003218C6"/>
    <w:rsid w:val="003528A0"/>
    <w:rsid w:val="00357E0A"/>
    <w:rsid w:val="00372909"/>
    <w:rsid w:val="003B4C16"/>
    <w:rsid w:val="003E1FE6"/>
    <w:rsid w:val="003F64F9"/>
    <w:rsid w:val="00400E12"/>
    <w:rsid w:val="00401D11"/>
    <w:rsid w:val="004107FE"/>
    <w:rsid w:val="00434065"/>
    <w:rsid w:val="00463DA4"/>
    <w:rsid w:val="004867C3"/>
    <w:rsid w:val="00497D33"/>
    <w:rsid w:val="004D73D6"/>
    <w:rsid w:val="004F4AD4"/>
    <w:rsid w:val="005137D5"/>
    <w:rsid w:val="005231DE"/>
    <w:rsid w:val="0053619A"/>
    <w:rsid w:val="0057208E"/>
    <w:rsid w:val="00583EEF"/>
    <w:rsid w:val="005B0406"/>
    <w:rsid w:val="00634D66"/>
    <w:rsid w:val="00642A7C"/>
    <w:rsid w:val="00672365"/>
    <w:rsid w:val="006737C0"/>
    <w:rsid w:val="0069784C"/>
    <w:rsid w:val="00697B8B"/>
    <w:rsid w:val="006A20D3"/>
    <w:rsid w:val="006B20A0"/>
    <w:rsid w:val="006E1691"/>
    <w:rsid w:val="00710DF6"/>
    <w:rsid w:val="00746289"/>
    <w:rsid w:val="007A77C0"/>
    <w:rsid w:val="007C44DE"/>
    <w:rsid w:val="007E3A9E"/>
    <w:rsid w:val="0080646E"/>
    <w:rsid w:val="00810952"/>
    <w:rsid w:val="00811067"/>
    <w:rsid w:val="00845790"/>
    <w:rsid w:val="00850433"/>
    <w:rsid w:val="00870905"/>
    <w:rsid w:val="00872ADF"/>
    <w:rsid w:val="0087664F"/>
    <w:rsid w:val="008917E1"/>
    <w:rsid w:val="008C20D5"/>
    <w:rsid w:val="008D3D45"/>
    <w:rsid w:val="008E1BDF"/>
    <w:rsid w:val="008F0A20"/>
    <w:rsid w:val="008F4DE3"/>
    <w:rsid w:val="00911478"/>
    <w:rsid w:val="00961B18"/>
    <w:rsid w:val="009805DF"/>
    <w:rsid w:val="009E049F"/>
    <w:rsid w:val="009F1F90"/>
    <w:rsid w:val="00A213CE"/>
    <w:rsid w:val="00A31691"/>
    <w:rsid w:val="00A43D9A"/>
    <w:rsid w:val="00A47857"/>
    <w:rsid w:val="00A647F5"/>
    <w:rsid w:val="00A77FCB"/>
    <w:rsid w:val="00A845E5"/>
    <w:rsid w:val="00AB5190"/>
    <w:rsid w:val="00AD6B29"/>
    <w:rsid w:val="00AD75EF"/>
    <w:rsid w:val="00B019AC"/>
    <w:rsid w:val="00B251C5"/>
    <w:rsid w:val="00B82B8B"/>
    <w:rsid w:val="00BB176D"/>
    <w:rsid w:val="00BB558D"/>
    <w:rsid w:val="00BD3154"/>
    <w:rsid w:val="00C2437B"/>
    <w:rsid w:val="00C32A34"/>
    <w:rsid w:val="00C86488"/>
    <w:rsid w:val="00CA12B2"/>
    <w:rsid w:val="00CC7DF9"/>
    <w:rsid w:val="00D03003"/>
    <w:rsid w:val="00D44CDB"/>
    <w:rsid w:val="00DE4AEC"/>
    <w:rsid w:val="00DF0300"/>
    <w:rsid w:val="00E07839"/>
    <w:rsid w:val="00E15F3F"/>
    <w:rsid w:val="00E71BF4"/>
    <w:rsid w:val="00E71D9D"/>
    <w:rsid w:val="00E76BB1"/>
    <w:rsid w:val="00E776F1"/>
    <w:rsid w:val="00E86FF8"/>
    <w:rsid w:val="00E94D08"/>
    <w:rsid w:val="00E96296"/>
    <w:rsid w:val="00F8235A"/>
    <w:rsid w:val="00FB3BFC"/>
    <w:rsid w:val="00FD1CB7"/>
    <w:rsid w:val="00FF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FBFFBA3"/>
  <w15:chartTrackingRefBased/>
  <w15:docId w15:val="{F3B516D0-42EF-45CA-8E11-4092D1EA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D1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1F1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3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1D11"/>
    <w:pPr>
      <w:keepNext/>
      <w:keepLines/>
      <w:numPr>
        <w:numId w:val="2"/>
      </w:numPr>
      <w:spacing w:before="40"/>
      <w:ind w:left="644" w:hanging="360"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01D11"/>
    <w:rPr>
      <w:rFonts w:ascii="Calibri" w:eastAsiaTheme="majorEastAsia" w:hAnsi="Calibri" w:cstheme="majorBidi"/>
      <w:color w:val="000000" w:themeColor="text1"/>
      <w:szCs w:val="24"/>
    </w:rPr>
  </w:style>
  <w:style w:type="paragraph" w:styleId="NormalWeb">
    <w:name w:val="Normal (Web)"/>
    <w:basedOn w:val="Normal"/>
    <w:uiPriority w:val="99"/>
    <w:unhideWhenUsed/>
    <w:rsid w:val="001C3F81"/>
    <w:pPr>
      <w:widowControl/>
      <w:autoSpaceDE/>
      <w:autoSpaceDN/>
      <w:spacing w:before="100" w:beforeAutospacing="1" w:after="142" w:line="288" w:lineRule="auto"/>
    </w:pPr>
    <w:rPr>
      <w:rFonts w:ascii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6B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6B29"/>
    <w:rPr>
      <w:rFonts w:ascii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D6B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6B29"/>
    <w:rPr>
      <w:rFonts w:ascii="Calibri" w:hAnsi="Calibri" w:cs="Times New Roman"/>
    </w:rPr>
  </w:style>
  <w:style w:type="character" w:customStyle="1" w:styleId="value-outline-none">
    <w:name w:val="value-outline-none"/>
    <w:basedOn w:val="Policepardfaut"/>
    <w:rsid w:val="00AD6B29"/>
  </w:style>
  <w:style w:type="character" w:customStyle="1" w:styleId="Policepardfaut1">
    <w:name w:val="Police par défaut1"/>
    <w:rsid w:val="00AD6B29"/>
  </w:style>
  <w:style w:type="paragraph" w:customStyle="1" w:styleId="Contenudetableau">
    <w:name w:val="Contenu de tableau"/>
    <w:basedOn w:val="Normal"/>
    <w:rsid w:val="00AD6B29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Titre1Car">
    <w:name w:val="Titre 1 Car"/>
    <w:basedOn w:val="Policepardfaut"/>
    <w:link w:val="Titre1"/>
    <w:uiPriority w:val="9"/>
    <w:rsid w:val="001F16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0646E"/>
    <w:pPr>
      <w:ind w:left="720"/>
      <w:contextualSpacing/>
    </w:pPr>
  </w:style>
  <w:style w:type="paragraph" w:customStyle="1" w:styleId="Default">
    <w:name w:val="Default"/>
    <w:rsid w:val="00E71D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83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583EEF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251C5"/>
    <w:pPr>
      <w:widowControl/>
      <w:autoSpaceDE/>
      <w:autoSpaceDN/>
      <w:spacing w:line="259" w:lineRule="auto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251C5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B251C5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B17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176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176D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17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176D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7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76D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137D5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93DCE-DE54-482C-8AED-428EB709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SEVOZ Prisca</dc:creator>
  <cp:keywords/>
  <dc:description/>
  <cp:lastModifiedBy>MOREL Gauthier</cp:lastModifiedBy>
  <cp:revision>12</cp:revision>
  <cp:lastPrinted>2024-07-10T10:19:00Z</cp:lastPrinted>
  <dcterms:created xsi:type="dcterms:W3CDTF">2025-03-24T15:42:00Z</dcterms:created>
  <dcterms:modified xsi:type="dcterms:W3CDTF">2025-10-24T14:18:00Z</dcterms:modified>
</cp:coreProperties>
</file>